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07" w:rsidRDefault="00721807" w:rsidP="005D2EFC">
      <w:pPr>
        <w:pStyle w:val="NoSpacing"/>
        <w:spacing w:line="240" w:lineRule="auto"/>
      </w:pPr>
    </w:p>
    <w:p w:rsidR="00721807" w:rsidRPr="00F007F3" w:rsidRDefault="00721807" w:rsidP="005D2EFC">
      <w:pPr>
        <w:jc w:val="center"/>
        <w:rPr>
          <w:b/>
          <w:sz w:val="28"/>
          <w:szCs w:val="28"/>
        </w:rPr>
      </w:pPr>
      <w:r w:rsidRPr="00F007F3">
        <w:rPr>
          <w:b/>
          <w:sz w:val="28"/>
          <w:szCs w:val="28"/>
        </w:rPr>
        <w:t>РОССИЙСКАЯ ФЕДЕРАЦИЯ</w:t>
      </w:r>
    </w:p>
    <w:p w:rsidR="00721807" w:rsidRPr="00F007F3" w:rsidRDefault="00721807" w:rsidP="005D2EFC">
      <w:pPr>
        <w:jc w:val="center"/>
        <w:rPr>
          <w:b/>
          <w:sz w:val="28"/>
          <w:szCs w:val="28"/>
        </w:rPr>
      </w:pPr>
      <w:r w:rsidRPr="00F007F3">
        <w:rPr>
          <w:b/>
          <w:sz w:val="28"/>
          <w:szCs w:val="28"/>
        </w:rPr>
        <w:t xml:space="preserve">АДМИНИСТРАЦИЯ ЛОБАНИХИНСКОГО СЕЛЬСОВЕТА </w:t>
      </w:r>
    </w:p>
    <w:p w:rsidR="00721807" w:rsidRPr="00F007F3" w:rsidRDefault="00721807" w:rsidP="005D2EFC">
      <w:pPr>
        <w:jc w:val="center"/>
        <w:rPr>
          <w:b/>
          <w:sz w:val="28"/>
          <w:szCs w:val="28"/>
        </w:rPr>
      </w:pPr>
      <w:r w:rsidRPr="00F007F3">
        <w:rPr>
          <w:b/>
          <w:sz w:val="28"/>
          <w:szCs w:val="28"/>
        </w:rPr>
        <w:t>НОВИЧИХИНСКОГО РАЙОНА АЛТАЙСКОГО КРАЯ</w:t>
      </w:r>
    </w:p>
    <w:p w:rsidR="00721807" w:rsidRPr="00F007F3" w:rsidRDefault="00721807" w:rsidP="005D2EFC">
      <w:pPr>
        <w:tabs>
          <w:tab w:val="left" w:pos="2320"/>
        </w:tabs>
        <w:rPr>
          <w:b/>
          <w:sz w:val="28"/>
          <w:szCs w:val="28"/>
        </w:rPr>
      </w:pPr>
    </w:p>
    <w:p w:rsidR="00721807" w:rsidRPr="00F007F3" w:rsidRDefault="00721807" w:rsidP="005D2EFC">
      <w:pPr>
        <w:tabs>
          <w:tab w:val="left" w:pos="2320"/>
        </w:tabs>
        <w:rPr>
          <w:b/>
          <w:sz w:val="28"/>
          <w:szCs w:val="28"/>
        </w:rPr>
      </w:pPr>
    </w:p>
    <w:p w:rsidR="00721807" w:rsidRPr="00F007F3" w:rsidRDefault="00721807" w:rsidP="005D2EFC">
      <w:pPr>
        <w:jc w:val="center"/>
        <w:rPr>
          <w:b/>
          <w:sz w:val="28"/>
          <w:szCs w:val="28"/>
        </w:rPr>
      </w:pPr>
      <w:r w:rsidRPr="00F007F3">
        <w:rPr>
          <w:b/>
          <w:sz w:val="28"/>
          <w:szCs w:val="28"/>
        </w:rPr>
        <w:t>ПОСТАНОВЛЕНИЕ</w:t>
      </w:r>
    </w:p>
    <w:p w:rsidR="00721807" w:rsidRPr="00F007F3" w:rsidRDefault="00721807" w:rsidP="005D2EFC">
      <w:pPr>
        <w:jc w:val="center"/>
        <w:rPr>
          <w:b/>
          <w:sz w:val="28"/>
          <w:szCs w:val="28"/>
        </w:rPr>
      </w:pPr>
    </w:p>
    <w:p w:rsidR="00721807" w:rsidRPr="00F007F3" w:rsidRDefault="00721807" w:rsidP="005D2EFC">
      <w:pPr>
        <w:jc w:val="center"/>
        <w:rPr>
          <w:b/>
          <w:sz w:val="28"/>
          <w:szCs w:val="28"/>
        </w:rPr>
      </w:pPr>
    </w:p>
    <w:p w:rsidR="00721807" w:rsidRPr="00F007F3" w:rsidRDefault="00721807" w:rsidP="00F007F3">
      <w:pPr>
        <w:jc w:val="both"/>
        <w:rPr>
          <w:b/>
          <w:sz w:val="28"/>
          <w:szCs w:val="28"/>
        </w:rPr>
      </w:pPr>
      <w:r>
        <w:rPr>
          <w:b/>
          <w:sz w:val="28"/>
          <w:szCs w:val="28"/>
        </w:rPr>
        <w:t>07.11.2022  №35</w:t>
      </w:r>
      <w:r w:rsidRPr="00F007F3">
        <w:rPr>
          <w:b/>
          <w:sz w:val="28"/>
          <w:szCs w:val="28"/>
        </w:rPr>
        <w:t xml:space="preserve">                                                </w:t>
      </w:r>
      <w:r>
        <w:rPr>
          <w:b/>
          <w:sz w:val="28"/>
          <w:szCs w:val="28"/>
        </w:rPr>
        <w:t xml:space="preserve">                               </w:t>
      </w:r>
      <w:r w:rsidRPr="00F007F3">
        <w:rPr>
          <w:b/>
          <w:sz w:val="28"/>
          <w:szCs w:val="28"/>
        </w:rPr>
        <w:t xml:space="preserve"> с. Лобаниха</w:t>
      </w:r>
    </w:p>
    <w:p w:rsidR="00721807" w:rsidRPr="00F007F3" w:rsidRDefault="00721807" w:rsidP="005D2EFC">
      <w:pPr>
        <w:rPr>
          <w:b/>
          <w:sz w:val="28"/>
          <w:szCs w:val="28"/>
        </w:rPr>
      </w:pPr>
    </w:p>
    <w:p w:rsidR="00721807" w:rsidRDefault="00721807" w:rsidP="005D2EFC">
      <w:pPr>
        <w:pStyle w:val="NoSpacing"/>
        <w:spacing w:line="240" w:lineRule="auto"/>
      </w:pPr>
    </w:p>
    <w:p w:rsidR="00721807" w:rsidRDefault="00721807" w:rsidP="005D2EFC">
      <w:pPr>
        <w:rPr>
          <w:sz w:val="28"/>
          <w:szCs w:val="28"/>
        </w:rPr>
      </w:pPr>
      <w:r>
        <w:rPr>
          <w:sz w:val="28"/>
          <w:szCs w:val="28"/>
        </w:rPr>
        <w:t>Об утверждении Прогноза социально</w:t>
      </w:r>
    </w:p>
    <w:p w:rsidR="00721807" w:rsidRPr="00846668" w:rsidRDefault="00721807" w:rsidP="005D2EFC">
      <w:pPr>
        <w:rPr>
          <w:sz w:val="28"/>
          <w:szCs w:val="28"/>
        </w:rPr>
      </w:pPr>
      <w:r>
        <w:rPr>
          <w:sz w:val="28"/>
          <w:szCs w:val="28"/>
        </w:rPr>
        <w:t>-экономического развития</w:t>
      </w:r>
    </w:p>
    <w:p w:rsidR="00721807" w:rsidRDefault="00721807" w:rsidP="005D2EFC">
      <w:pPr>
        <w:rPr>
          <w:sz w:val="28"/>
          <w:szCs w:val="28"/>
        </w:rPr>
      </w:pPr>
      <w:r>
        <w:rPr>
          <w:sz w:val="28"/>
          <w:szCs w:val="28"/>
        </w:rPr>
        <w:t>Лобанихинского</w:t>
      </w:r>
      <w:r w:rsidRPr="00846668">
        <w:rPr>
          <w:sz w:val="28"/>
          <w:szCs w:val="28"/>
        </w:rPr>
        <w:t xml:space="preserve"> сельсовет</w:t>
      </w:r>
      <w:r>
        <w:rPr>
          <w:sz w:val="28"/>
          <w:szCs w:val="28"/>
        </w:rPr>
        <w:t>а</w:t>
      </w:r>
    </w:p>
    <w:p w:rsidR="00721807" w:rsidRPr="00846668" w:rsidRDefault="00721807" w:rsidP="005D2EFC">
      <w:pPr>
        <w:rPr>
          <w:sz w:val="28"/>
          <w:szCs w:val="28"/>
        </w:rPr>
      </w:pPr>
      <w:r>
        <w:rPr>
          <w:sz w:val="28"/>
          <w:szCs w:val="28"/>
        </w:rPr>
        <w:t>на 2023-2025 годы</w:t>
      </w:r>
    </w:p>
    <w:p w:rsidR="00721807" w:rsidRPr="00846668" w:rsidRDefault="00721807" w:rsidP="005D2EFC">
      <w:pPr>
        <w:rPr>
          <w:sz w:val="28"/>
          <w:szCs w:val="28"/>
        </w:rPr>
      </w:pPr>
    </w:p>
    <w:p w:rsidR="00721807" w:rsidRDefault="00721807" w:rsidP="005D2EFC">
      <w:pPr>
        <w:jc w:val="both"/>
        <w:rPr>
          <w:sz w:val="28"/>
          <w:szCs w:val="28"/>
        </w:rPr>
      </w:pPr>
      <w:r w:rsidRPr="00846668">
        <w:rPr>
          <w:sz w:val="28"/>
          <w:szCs w:val="28"/>
        </w:rPr>
        <w:t xml:space="preserve">В соответствии со статьей 174 Бюджетного кодекса Российской Федерации, руководствуясь Федеральным законом от 06 октября 2003 года № 131-ФЗ «Об общих принципах организации местного самоуправления в РФ», Уставом </w:t>
      </w:r>
      <w:r>
        <w:rPr>
          <w:sz w:val="28"/>
          <w:szCs w:val="28"/>
        </w:rPr>
        <w:t>Лобанихинского</w:t>
      </w:r>
      <w:r w:rsidRPr="00846668">
        <w:rPr>
          <w:sz w:val="28"/>
          <w:szCs w:val="28"/>
        </w:rPr>
        <w:t xml:space="preserve"> сельсовета Новичихинского района,</w:t>
      </w:r>
      <w:r>
        <w:rPr>
          <w:sz w:val="28"/>
          <w:szCs w:val="28"/>
        </w:rPr>
        <w:t xml:space="preserve"> Администрация Лобанихинского сельсовета Новичихинского района Алтайского края, ПОСТАНОВЛЯЕТ:</w:t>
      </w:r>
    </w:p>
    <w:p w:rsidR="00721807" w:rsidRDefault="00721807" w:rsidP="005D2EFC">
      <w:pPr>
        <w:jc w:val="both"/>
        <w:rPr>
          <w:sz w:val="28"/>
          <w:szCs w:val="28"/>
        </w:rPr>
      </w:pPr>
    </w:p>
    <w:p w:rsidR="00721807" w:rsidRDefault="00721807" w:rsidP="005D2EFC">
      <w:pPr>
        <w:jc w:val="both"/>
        <w:rPr>
          <w:sz w:val="28"/>
          <w:szCs w:val="28"/>
        </w:rPr>
      </w:pPr>
      <w:r w:rsidRPr="00846668">
        <w:rPr>
          <w:sz w:val="28"/>
          <w:szCs w:val="28"/>
        </w:rPr>
        <w:t xml:space="preserve">1.Утвердить </w:t>
      </w:r>
      <w:r>
        <w:rPr>
          <w:sz w:val="28"/>
          <w:szCs w:val="28"/>
        </w:rPr>
        <w:t>Прогноз социально-экономического развития Лобанихинского</w:t>
      </w:r>
      <w:r w:rsidRPr="00846668">
        <w:rPr>
          <w:sz w:val="28"/>
          <w:szCs w:val="28"/>
        </w:rPr>
        <w:t>сельсовет</w:t>
      </w:r>
      <w:r>
        <w:rPr>
          <w:sz w:val="28"/>
          <w:szCs w:val="28"/>
        </w:rPr>
        <w:t xml:space="preserve">а на 2023-2025 годы </w:t>
      </w:r>
      <w:r w:rsidRPr="00CC5AFA">
        <w:rPr>
          <w:sz w:val="28"/>
          <w:szCs w:val="28"/>
        </w:rPr>
        <w:t xml:space="preserve">согласно приложения 1 к настоящему </w:t>
      </w:r>
      <w:r w:rsidRPr="00846668">
        <w:rPr>
          <w:sz w:val="28"/>
          <w:szCs w:val="28"/>
        </w:rPr>
        <w:t>постановлению.</w:t>
      </w:r>
    </w:p>
    <w:p w:rsidR="00721807" w:rsidRPr="00846668" w:rsidRDefault="00721807" w:rsidP="005D2EFC">
      <w:pPr>
        <w:jc w:val="both"/>
        <w:rPr>
          <w:sz w:val="28"/>
          <w:szCs w:val="28"/>
        </w:rPr>
      </w:pPr>
      <w:r w:rsidRPr="00846668">
        <w:rPr>
          <w:sz w:val="28"/>
          <w:szCs w:val="28"/>
        </w:rPr>
        <w:t>2. Постановление вступает в силу со дня его подписания.</w:t>
      </w:r>
    </w:p>
    <w:p w:rsidR="00721807" w:rsidRPr="00846668" w:rsidRDefault="00721807" w:rsidP="005D2EFC">
      <w:pPr>
        <w:jc w:val="both"/>
        <w:rPr>
          <w:sz w:val="28"/>
          <w:szCs w:val="28"/>
        </w:rPr>
      </w:pPr>
      <w:r w:rsidRPr="00846668">
        <w:rPr>
          <w:sz w:val="28"/>
          <w:szCs w:val="28"/>
        </w:rPr>
        <w:t>3. Контроль за выполнением настоящего постановления оставляю за собой.</w:t>
      </w:r>
    </w:p>
    <w:p w:rsidR="00721807" w:rsidRDefault="00721807" w:rsidP="005D2EFC">
      <w:pPr>
        <w:jc w:val="both"/>
        <w:rPr>
          <w:sz w:val="28"/>
          <w:szCs w:val="28"/>
        </w:rPr>
      </w:pPr>
    </w:p>
    <w:p w:rsidR="00721807" w:rsidRPr="00846668" w:rsidRDefault="00721807" w:rsidP="005D2EFC">
      <w:pPr>
        <w:jc w:val="both"/>
        <w:rPr>
          <w:sz w:val="28"/>
          <w:szCs w:val="28"/>
        </w:rPr>
      </w:pPr>
    </w:p>
    <w:p w:rsidR="00721807" w:rsidRPr="00846668" w:rsidRDefault="00721807" w:rsidP="005D2EFC">
      <w:pPr>
        <w:jc w:val="both"/>
        <w:rPr>
          <w:sz w:val="28"/>
          <w:szCs w:val="28"/>
        </w:rPr>
      </w:pPr>
    </w:p>
    <w:p w:rsidR="00721807" w:rsidRDefault="00721807" w:rsidP="005D2EFC">
      <w:pPr>
        <w:jc w:val="both"/>
        <w:rPr>
          <w:sz w:val="28"/>
          <w:szCs w:val="28"/>
        </w:rPr>
      </w:pPr>
      <w:r>
        <w:rPr>
          <w:sz w:val="28"/>
          <w:szCs w:val="28"/>
        </w:rPr>
        <w:t xml:space="preserve">Глава сельсовета                                                                    </w:t>
      </w:r>
      <w:bookmarkStart w:id="0" w:name="_GoBack"/>
      <w:bookmarkEnd w:id="0"/>
      <w:r>
        <w:rPr>
          <w:sz w:val="28"/>
          <w:szCs w:val="28"/>
        </w:rPr>
        <w:t>М.С. Перегудова</w:t>
      </w: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CC0D69">
      <w:pPr>
        <w:pStyle w:val="NormalWeb"/>
        <w:jc w:val="center"/>
      </w:pPr>
      <w:r>
        <w:rPr>
          <w:rStyle w:val="Strong"/>
        </w:rPr>
        <w:t>ПРОГНОЗ</w:t>
      </w:r>
      <w:r>
        <w:t xml:space="preserve"> </w:t>
      </w:r>
      <w:r>
        <w:br/>
      </w:r>
      <w:r>
        <w:rPr>
          <w:rStyle w:val="Strong"/>
        </w:rPr>
        <w:t>СОЦИАЛЬНО-ЭКОНОМИЧЕСКОГО РАЗВИТИЯ</w:t>
      </w:r>
      <w:r>
        <w:t xml:space="preserve"> </w:t>
      </w:r>
      <w:r>
        <w:br/>
      </w:r>
      <w:r>
        <w:rPr>
          <w:b/>
        </w:rPr>
        <w:t>ЛОБАНИХИНСКОГО</w:t>
      </w:r>
      <w:r>
        <w:rPr>
          <w:rStyle w:val="Strong"/>
        </w:rPr>
        <w:t xml:space="preserve"> СЕЛЬСОВЕТА </w:t>
      </w:r>
      <w:r>
        <w:t xml:space="preserve"> </w:t>
      </w:r>
      <w:r>
        <w:br/>
      </w:r>
      <w:r>
        <w:rPr>
          <w:rStyle w:val="Strong"/>
        </w:rPr>
        <w:t>НА 2023-2025 ГОД</w:t>
      </w:r>
    </w:p>
    <w:p w:rsidR="00721807" w:rsidRDefault="00721807" w:rsidP="00CC0D69">
      <w:pPr>
        <w:pStyle w:val="NormalWeb"/>
        <w:spacing w:before="0" w:beforeAutospacing="0" w:after="0" w:afterAutospacing="0"/>
        <w:jc w:val="both"/>
      </w:pPr>
      <w:r>
        <w:tab/>
        <w:t xml:space="preserve">Прогноз социально-экономического развития Лобанихинского сельсовета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Лобанихинского сельсовета с учетом задач, поставленных Президентом России в Бюджетном послании Федеральному Собранию Российской Федерации о бюджетной политике, и требованиями налоговой политики. </w:t>
      </w:r>
      <w:r>
        <w:br/>
      </w:r>
      <w:r>
        <w:tab/>
        <w:t xml:space="preserve">В представленном прогнозе социально-экономического развития Лобанихинского сельсовета учтены условия функционирования экономики Российской Федерации на прогнозируемый период, основные индексы-дефляторы, утвержденные на 2022-2025г. г Прогноз социально-экономического развития Лобанихинского сельсовета на 2023г.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 </w:t>
      </w:r>
    </w:p>
    <w:p w:rsidR="00721807" w:rsidRDefault="00721807" w:rsidP="00CC0D69">
      <w:pPr>
        <w:pStyle w:val="NormalWeb"/>
        <w:spacing w:before="0" w:beforeAutospacing="0" w:after="0" w:afterAutospacing="0"/>
        <w:jc w:val="center"/>
      </w:pPr>
      <w:r>
        <w:rPr>
          <w:rStyle w:val="Strong"/>
        </w:rPr>
        <w:t>Характеристика и прогноз социально-экономического развития.</w:t>
      </w:r>
    </w:p>
    <w:p w:rsidR="00721807" w:rsidRPr="00CC0D69" w:rsidRDefault="00721807" w:rsidP="00CC0D69">
      <w:pPr>
        <w:pStyle w:val="NormalWeb"/>
        <w:spacing w:before="0" w:beforeAutospacing="0" w:after="0" w:afterAutospacing="0"/>
        <w:jc w:val="both"/>
      </w:pPr>
      <w:r>
        <w:rPr>
          <w:rStyle w:val="Strong"/>
        </w:rPr>
        <w:tab/>
        <w:t xml:space="preserve">Лобанихинский сельсовет – </w:t>
      </w:r>
      <w:r w:rsidRPr="00CC0D69">
        <w:t xml:space="preserve">включает в себя три населенных пункта: село Лобаниха, поселок Невский, поселок Петровский. Ведущее место в структуре экономики занимает сельское хозяйство. Немаловажное влияние на экономику поселения оказывают предприятия торговли. Общая протяженность дорог в границах населенных пунктов общего пользования составляет </w:t>
      </w:r>
      <w:smartTag w:uri="urn:schemas-microsoft-com:office:smarttags" w:element="metricconverter">
        <w:smartTagPr>
          <w:attr w:name="ProductID" w:val="36 км"/>
        </w:smartTagPr>
        <w:r w:rsidRPr="00CC0D69">
          <w:t>36 км</w:t>
        </w:r>
      </w:smartTag>
      <w:r w:rsidRPr="00CC0D69">
        <w:t>. Налажено регулярное автобусное сообщение всех населённых пунктов с районным центром с. Новичиха. Численность сельского поселения на 01.10.2022г. составила 459 человек, и</w:t>
      </w:r>
      <w:r>
        <w:t>з них в с. Лобаниха 336 человек, пос. Невский 35 человек</w:t>
      </w:r>
      <w:r w:rsidRPr="00CC0D69">
        <w:t xml:space="preserve">, пос. Петровский 88 человек. Демографическая ситуация в поселении продолжает оставаться сложной. </w:t>
      </w:r>
    </w:p>
    <w:p w:rsidR="00721807" w:rsidRDefault="00721807" w:rsidP="00CC0D69">
      <w:pPr>
        <w:pStyle w:val="NormalWeb"/>
        <w:spacing w:before="0" w:beforeAutospacing="0" w:after="0" w:afterAutospacing="0"/>
        <w:jc w:val="center"/>
      </w:pPr>
      <w:r>
        <w:rPr>
          <w:rStyle w:val="Strong"/>
        </w:rPr>
        <w:t>Налоговые поступления в бюджет.</w:t>
      </w:r>
    </w:p>
    <w:p w:rsidR="00721807" w:rsidRDefault="00721807" w:rsidP="00CC0D69">
      <w:pPr>
        <w:pStyle w:val="NormalWeb"/>
        <w:spacing w:before="0" w:beforeAutospacing="0" w:after="0" w:afterAutospacing="0"/>
        <w:jc w:val="both"/>
      </w:pPr>
      <w:r>
        <w:rPr>
          <w:rStyle w:val="Strong"/>
        </w:rPr>
        <w:tab/>
        <w:t xml:space="preserve">Налоговая политика </w:t>
      </w:r>
      <w: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r>
        <w:br/>
      </w:r>
      <w:r>
        <w:tab/>
        <w:t xml:space="preserve">Доходы бюджета Лобанихинского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Алтайского края.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br/>
        <w:t xml:space="preserve">земельного налога – по нормативу 100 процентов; </w:t>
      </w:r>
      <w:r>
        <w:br/>
        <w:t xml:space="preserve">налога на имущество физических лиц – по нормативу 100 процентов. </w:t>
      </w:r>
      <w:r>
        <w:br/>
        <w:t xml:space="preserve">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r>
        <w:br/>
        <w:t xml:space="preserve">налога на доходы физических лиц – по нормативу 2 процентов; </w:t>
      </w:r>
      <w:r>
        <w:br/>
        <w:t xml:space="preserve">единого сельскохозяйственного налога – по нормативу 30 процентов. </w:t>
      </w:r>
      <w:r>
        <w:br/>
      </w:r>
    </w:p>
    <w:p w:rsidR="00721807" w:rsidRDefault="00721807" w:rsidP="00CC0D69">
      <w:pPr>
        <w:pStyle w:val="NormalWeb"/>
        <w:spacing w:before="0" w:beforeAutospacing="0" w:after="0" w:afterAutospacing="0"/>
        <w:jc w:val="center"/>
        <w:rPr>
          <w:rStyle w:val="Strong"/>
        </w:rPr>
      </w:pPr>
    </w:p>
    <w:p w:rsidR="00721807" w:rsidRDefault="00721807" w:rsidP="00CC0D69">
      <w:pPr>
        <w:pStyle w:val="NormalWeb"/>
        <w:spacing w:before="0" w:beforeAutospacing="0" w:after="0" w:afterAutospacing="0"/>
        <w:jc w:val="center"/>
        <w:rPr>
          <w:rStyle w:val="Strong"/>
        </w:rPr>
      </w:pPr>
    </w:p>
    <w:p w:rsidR="00721807" w:rsidRDefault="00721807" w:rsidP="00CC0D69">
      <w:pPr>
        <w:pStyle w:val="NormalWeb"/>
        <w:spacing w:before="0" w:beforeAutospacing="0" w:after="0" w:afterAutospacing="0"/>
        <w:jc w:val="center"/>
        <w:rPr>
          <w:rStyle w:val="Strong"/>
        </w:rPr>
      </w:pPr>
    </w:p>
    <w:p w:rsidR="00721807" w:rsidRDefault="00721807" w:rsidP="00CC0D69">
      <w:pPr>
        <w:pStyle w:val="NormalWeb"/>
        <w:spacing w:before="0" w:beforeAutospacing="0" w:after="0" w:afterAutospacing="0"/>
        <w:jc w:val="center"/>
        <w:rPr>
          <w:rStyle w:val="Strong"/>
        </w:rPr>
      </w:pPr>
    </w:p>
    <w:p w:rsidR="00721807" w:rsidRDefault="00721807" w:rsidP="00CC0D69">
      <w:pPr>
        <w:pStyle w:val="NormalWeb"/>
        <w:spacing w:before="0" w:beforeAutospacing="0" w:after="0" w:afterAutospacing="0"/>
        <w:jc w:val="center"/>
        <w:rPr>
          <w:rStyle w:val="Strong"/>
        </w:rPr>
      </w:pPr>
    </w:p>
    <w:p w:rsidR="00721807" w:rsidRDefault="00721807" w:rsidP="00CC0D69">
      <w:pPr>
        <w:pStyle w:val="NormalWeb"/>
        <w:spacing w:before="0" w:beforeAutospacing="0" w:after="0" w:afterAutospacing="0"/>
        <w:jc w:val="center"/>
      </w:pPr>
      <w:r>
        <w:rPr>
          <w:rStyle w:val="Strong"/>
        </w:rPr>
        <w:t xml:space="preserve">Прогноз поступления налоговых доходов в бюджет </w:t>
      </w:r>
    </w:p>
    <w:p w:rsidR="00721807" w:rsidRDefault="00721807" w:rsidP="00CC0D69">
      <w:pPr>
        <w:pStyle w:val="NormalWeb"/>
        <w:spacing w:before="0" w:beforeAutospacing="0" w:after="0" w:afterAutospacing="0"/>
        <w:jc w:val="center"/>
        <w:rPr>
          <w:rStyle w:val="Strong"/>
        </w:rPr>
      </w:pPr>
      <w:r>
        <w:rPr>
          <w:rStyle w:val="Strong"/>
        </w:rPr>
        <w:t>Лобанихинского сельского поселения на 2023-2025 год</w:t>
      </w:r>
    </w:p>
    <w:p w:rsidR="00721807" w:rsidRDefault="00721807" w:rsidP="00CC0D69">
      <w:pPr>
        <w:pStyle w:val="NormalWeb"/>
        <w:spacing w:before="0" w:beforeAutospacing="0" w:after="0" w:afterAutospacing="0"/>
        <w:jc w:val="center"/>
        <w:rPr>
          <w:rStyle w:val="Strong"/>
        </w:rPr>
      </w:pPr>
    </w:p>
    <w:p w:rsidR="00721807" w:rsidRDefault="00721807" w:rsidP="00CC0D69">
      <w:pPr>
        <w:pStyle w:val="NormalWeb"/>
        <w:spacing w:before="0" w:beforeAutospacing="0" w:after="0" w:afterAutospacing="0"/>
        <w:jc w:val="cente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1659"/>
        <w:gridCol w:w="1537"/>
        <w:gridCol w:w="1416"/>
        <w:gridCol w:w="1415"/>
      </w:tblGrid>
      <w:tr w:rsidR="00721807" w:rsidTr="00CC0D69">
        <w:trPr>
          <w:tblCellSpacing w:w="15" w:type="dxa"/>
          <w:jc w:val="center"/>
        </w:trPr>
        <w:tc>
          <w:tcPr>
            <w:tcW w:w="3393" w:type="dxa"/>
            <w:tcMar>
              <w:top w:w="15" w:type="dxa"/>
              <w:left w:w="15" w:type="dxa"/>
              <w:bottom w:w="15" w:type="dxa"/>
              <w:right w:w="15" w:type="dxa"/>
            </w:tcMar>
            <w:vAlign w:val="center"/>
          </w:tcPr>
          <w:p w:rsidR="00721807" w:rsidRDefault="00721807">
            <w:pPr>
              <w:pStyle w:val="NormalWeb"/>
              <w:jc w:val="center"/>
            </w:pPr>
            <w:r>
              <w:br/>
              <w:t>Наименование групп, подгрупп, статей, подстатей, элементов, программ (подпрограмм), кодов экономической классификации доходов</w:t>
            </w:r>
          </w:p>
        </w:tc>
        <w:tc>
          <w:tcPr>
            <w:tcW w:w="1629" w:type="dxa"/>
            <w:tcMar>
              <w:top w:w="15" w:type="dxa"/>
              <w:left w:w="15" w:type="dxa"/>
              <w:bottom w:w="15" w:type="dxa"/>
              <w:right w:w="15" w:type="dxa"/>
            </w:tcMar>
            <w:vAlign w:val="center"/>
          </w:tcPr>
          <w:p w:rsidR="00721807" w:rsidRDefault="00721807">
            <w:pPr>
              <w:pStyle w:val="NormalWeb"/>
              <w:jc w:val="center"/>
            </w:pPr>
          </w:p>
          <w:p w:rsidR="00721807" w:rsidRDefault="00721807">
            <w:pPr>
              <w:pStyle w:val="NormalWeb"/>
              <w:jc w:val="center"/>
            </w:pPr>
            <w:r>
              <w:t>План поступлений на 2022 год</w:t>
            </w:r>
          </w:p>
        </w:tc>
        <w:tc>
          <w:tcPr>
            <w:tcW w:w="1507" w:type="dxa"/>
            <w:tcMar>
              <w:top w:w="15" w:type="dxa"/>
              <w:left w:w="15" w:type="dxa"/>
              <w:bottom w:w="15" w:type="dxa"/>
              <w:right w:w="15" w:type="dxa"/>
            </w:tcMar>
            <w:vAlign w:val="center"/>
          </w:tcPr>
          <w:p w:rsidR="00721807" w:rsidRDefault="00721807">
            <w:pPr>
              <w:pStyle w:val="NormalWeb"/>
              <w:jc w:val="center"/>
            </w:pPr>
            <w:r>
              <w:t>Прогноз поступлений на 2023 год</w:t>
            </w:r>
          </w:p>
        </w:tc>
        <w:tc>
          <w:tcPr>
            <w:tcW w:w="1386" w:type="dxa"/>
            <w:tcMar>
              <w:top w:w="15" w:type="dxa"/>
              <w:left w:w="15" w:type="dxa"/>
              <w:bottom w:w="15" w:type="dxa"/>
              <w:right w:w="15" w:type="dxa"/>
            </w:tcMar>
            <w:vAlign w:val="center"/>
          </w:tcPr>
          <w:p w:rsidR="00721807" w:rsidRDefault="00721807">
            <w:pPr>
              <w:pStyle w:val="NormalWeb"/>
              <w:jc w:val="center"/>
            </w:pPr>
            <w:r>
              <w:t>Прогноз поступлений на 2024 год</w:t>
            </w:r>
          </w:p>
        </w:tc>
        <w:tc>
          <w:tcPr>
            <w:tcW w:w="1370" w:type="dxa"/>
            <w:tcMar>
              <w:top w:w="15" w:type="dxa"/>
              <w:left w:w="15" w:type="dxa"/>
              <w:bottom w:w="15" w:type="dxa"/>
              <w:right w:w="15" w:type="dxa"/>
            </w:tcMar>
          </w:tcPr>
          <w:p w:rsidR="00721807" w:rsidRDefault="00721807">
            <w:pPr>
              <w:pStyle w:val="NormalWeb"/>
              <w:jc w:val="center"/>
            </w:pPr>
          </w:p>
          <w:p w:rsidR="00721807" w:rsidRDefault="00721807">
            <w:pPr>
              <w:pStyle w:val="NormalWeb"/>
              <w:jc w:val="center"/>
            </w:pPr>
            <w:r>
              <w:t>Прогноз поступлений на 2025 год</w:t>
            </w:r>
          </w:p>
        </w:tc>
      </w:tr>
      <w:tr w:rsidR="00721807" w:rsidTr="00CC0D69">
        <w:trPr>
          <w:tblCellSpacing w:w="15" w:type="dxa"/>
          <w:jc w:val="center"/>
        </w:trPr>
        <w:tc>
          <w:tcPr>
            <w:tcW w:w="3393" w:type="dxa"/>
            <w:tcMar>
              <w:top w:w="15" w:type="dxa"/>
              <w:left w:w="15" w:type="dxa"/>
              <w:bottom w:w="15" w:type="dxa"/>
              <w:right w:w="15" w:type="dxa"/>
            </w:tcMar>
            <w:vAlign w:val="center"/>
          </w:tcPr>
          <w:p w:rsidR="00721807" w:rsidRDefault="00721807">
            <w:pPr>
              <w:pStyle w:val="NormalWeb"/>
              <w:jc w:val="center"/>
            </w:pPr>
            <w:r>
              <w:t>Налог на доходы физических лиц</w:t>
            </w:r>
          </w:p>
        </w:tc>
        <w:tc>
          <w:tcPr>
            <w:tcW w:w="1629" w:type="dxa"/>
            <w:tcMar>
              <w:top w:w="15" w:type="dxa"/>
              <w:left w:w="15" w:type="dxa"/>
              <w:bottom w:w="15" w:type="dxa"/>
              <w:right w:w="15" w:type="dxa"/>
            </w:tcMar>
            <w:vAlign w:val="center"/>
          </w:tcPr>
          <w:p w:rsidR="00721807" w:rsidRDefault="00721807">
            <w:pPr>
              <w:pStyle w:val="NormalWeb"/>
              <w:jc w:val="center"/>
            </w:pPr>
            <w:r>
              <w:t>70,0</w:t>
            </w:r>
          </w:p>
        </w:tc>
        <w:tc>
          <w:tcPr>
            <w:tcW w:w="1507" w:type="dxa"/>
            <w:tcMar>
              <w:top w:w="15" w:type="dxa"/>
              <w:left w:w="15" w:type="dxa"/>
              <w:bottom w:w="15" w:type="dxa"/>
              <w:right w:w="15" w:type="dxa"/>
            </w:tcMar>
            <w:vAlign w:val="center"/>
          </w:tcPr>
          <w:p w:rsidR="00721807" w:rsidRDefault="00721807">
            <w:pPr>
              <w:pStyle w:val="NormalWeb"/>
              <w:jc w:val="center"/>
            </w:pPr>
            <w:r>
              <w:t>72,0</w:t>
            </w:r>
          </w:p>
        </w:tc>
        <w:tc>
          <w:tcPr>
            <w:tcW w:w="1386" w:type="dxa"/>
            <w:tcMar>
              <w:top w:w="15" w:type="dxa"/>
              <w:left w:w="15" w:type="dxa"/>
              <w:bottom w:w="15" w:type="dxa"/>
              <w:right w:w="15" w:type="dxa"/>
            </w:tcMar>
            <w:vAlign w:val="center"/>
          </w:tcPr>
          <w:p w:rsidR="00721807" w:rsidRDefault="00721807">
            <w:pPr>
              <w:pStyle w:val="NormalWeb"/>
              <w:jc w:val="center"/>
            </w:pPr>
            <w:r>
              <w:t>74,0</w:t>
            </w:r>
          </w:p>
        </w:tc>
        <w:tc>
          <w:tcPr>
            <w:tcW w:w="1370" w:type="dxa"/>
            <w:tcMar>
              <w:top w:w="15" w:type="dxa"/>
              <w:left w:w="15" w:type="dxa"/>
              <w:bottom w:w="15" w:type="dxa"/>
              <w:right w:w="15" w:type="dxa"/>
            </w:tcMar>
            <w:vAlign w:val="center"/>
          </w:tcPr>
          <w:p w:rsidR="00721807" w:rsidRDefault="00721807">
            <w:pPr>
              <w:pStyle w:val="NormalWeb"/>
              <w:jc w:val="center"/>
            </w:pPr>
            <w:r>
              <w:t>76,0</w:t>
            </w:r>
          </w:p>
        </w:tc>
      </w:tr>
      <w:tr w:rsidR="00721807" w:rsidTr="00CC0D69">
        <w:trPr>
          <w:tblCellSpacing w:w="15" w:type="dxa"/>
          <w:jc w:val="center"/>
        </w:trPr>
        <w:tc>
          <w:tcPr>
            <w:tcW w:w="3393" w:type="dxa"/>
            <w:tcMar>
              <w:top w:w="15" w:type="dxa"/>
              <w:left w:w="15" w:type="dxa"/>
              <w:bottom w:w="15" w:type="dxa"/>
              <w:right w:w="15" w:type="dxa"/>
            </w:tcMar>
            <w:vAlign w:val="center"/>
          </w:tcPr>
          <w:p w:rsidR="00721807" w:rsidRDefault="00721807">
            <w:pPr>
              <w:pStyle w:val="NormalWeb"/>
              <w:jc w:val="center"/>
            </w:pPr>
            <w:r>
              <w:t>Налог на имущество физических лиц</w:t>
            </w:r>
          </w:p>
        </w:tc>
        <w:tc>
          <w:tcPr>
            <w:tcW w:w="1629" w:type="dxa"/>
            <w:tcMar>
              <w:top w:w="15" w:type="dxa"/>
              <w:left w:w="15" w:type="dxa"/>
              <w:bottom w:w="15" w:type="dxa"/>
              <w:right w:w="15" w:type="dxa"/>
            </w:tcMar>
            <w:vAlign w:val="center"/>
          </w:tcPr>
          <w:p w:rsidR="00721807" w:rsidRDefault="00721807">
            <w:pPr>
              <w:pStyle w:val="NormalWeb"/>
              <w:jc w:val="center"/>
            </w:pPr>
            <w:r>
              <w:t>16,0</w:t>
            </w:r>
          </w:p>
        </w:tc>
        <w:tc>
          <w:tcPr>
            <w:tcW w:w="1507" w:type="dxa"/>
            <w:tcMar>
              <w:top w:w="15" w:type="dxa"/>
              <w:left w:w="15" w:type="dxa"/>
              <w:bottom w:w="15" w:type="dxa"/>
              <w:right w:w="15" w:type="dxa"/>
            </w:tcMar>
            <w:vAlign w:val="center"/>
          </w:tcPr>
          <w:p w:rsidR="00721807" w:rsidRDefault="00721807">
            <w:pPr>
              <w:pStyle w:val="NormalWeb"/>
              <w:jc w:val="center"/>
            </w:pPr>
            <w:r>
              <w:t>17,0</w:t>
            </w:r>
          </w:p>
        </w:tc>
        <w:tc>
          <w:tcPr>
            <w:tcW w:w="1386" w:type="dxa"/>
            <w:tcMar>
              <w:top w:w="15" w:type="dxa"/>
              <w:left w:w="15" w:type="dxa"/>
              <w:bottom w:w="15" w:type="dxa"/>
              <w:right w:w="15" w:type="dxa"/>
            </w:tcMar>
            <w:vAlign w:val="center"/>
          </w:tcPr>
          <w:p w:rsidR="00721807" w:rsidRDefault="00721807">
            <w:pPr>
              <w:pStyle w:val="NormalWeb"/>
              <w:jc w:val="center"/>
            </w:pPr>
            <w:r>
              <w:t>18,0</w:t>
            </w:r>
          </w:p>
        </w:tc>
        <w:tc>
          <w:tcPr>
            <w:tcW w:w="1370" w:type="dxa"/>
            <w:tcMar>
              <w:top w:w="15" w:type="dxa"/>
              <w:left w:w="15" w:type="dxa"/>
              <w:bottom w:w="15" w:type="dxa"/>
              <w:right w:w="15" w:type="dxa"/>
            </w:tcMar>
            <w:vAlign w:val="center"/>
          </w:tcPr>
          <w:p w:rsidR="00721807" w:rsidRDefault="00721807">
            <w:pPr>
              <w:pStyle w:val="NormalWeb"/>
              <w:jc w:val="center"/>
            </w:pPr>
            <w:r>
              <w:t>19,0</w:t>
            </w:r>
          </w:p>
        </w:tc>
      </w:tr>
      <w:tr w:rsidR="00721807" w:rsidTr="00CC0D69">
        <w:trPr>
          <w:tblCellSpacing w:w="15" w:type="dxa"/>
          <w:jc w:val="center"/>
        </w:trPr>
        <w:tc>
          <w:tcPr>
            <w:tcW w:w="3393" w:type="dxa"/>
            <w:tcMar>
              <w:top w:w="15" w:type="dxa"/>
              <w:left w:w="15" w:type="dxa"/>
              <w:bottom w:w="15" w:type="dxa"/>
              <w:right w:w="15" w:type="dxa"/>
            </w:tcMar>
            <w:vAlign w:val="center"/>
          </w:tcPr>
          <w:p w:rsidR="00721807" w:rsidRDefault="00721807">
            <w:pPr>
              <w:pStyle w:val="NormalWeb"/>
              <w:jc w:val="center"/>
            </w:pPr>
            <w:r>
              <w:t>Земельный налог (исходя из фактических поступлений)</w:t>
            </w:r>
          </w:p>
        </w:tc>
        <w:tc>
          <w:tcPr>
            <w:tcW w:w="1629" w:type="dxa"/>
            <w:tcMar>
              <w:top w:w="15" w:type="dxa"/>
              <w:left w:w="15" w:type="dxa"/>
              <w:bottom w:w="15" w:type="dxa"/>
              <w:right w:w="15" w:type="dxa"/>
            </w:tcMar>
            <w:vAlign w:val="center"/>
          </w:tcPr>
          <w:p w:rsidR="00721807" w:rsidRDefault="00721807">
            <w:pPr>
              <w:pStyle w:val="NormalWeb"/>
              <w:jc w:val="center"/>
            </w:pPr>
            <w:r>
              <w:t>580,0</w:t>
            </w:r>
          </w:p>
        </w:tc>
        <w:tc>
          <w:tcPr>
            <w:tcW w:w="1507" w:type="dxa"/>
            <w:tcMar>
              <w:top w:w="15" w:type="dxa"/>
              <w:left w:w="15" w:type="dxa"/>
              <w:bottom w:w="15" w:type="dxa"/>
              <w:right w:w="15" w:type="dxa"/>
            </w:tcMar>
            <w:vAlign w:val="center"/>
          </w:tcPr>
          <w:p w:rsidR="00721807" w:rsidRDefault="00721807">
            <w:pPr>
              <w:pStyle w:val="NormalWeb"/>
              <w:jc w:val="center"/>
            </w:pPr>
            <w:r>
              <w:t>597,0</w:t>
            </w:r>
          </w:p>
        </w:tc>
        <w:tc>
          <w:tcPr>
            <w:tcW w:w="1386" w:type="dxa"/>
            <w:tcMar>
              <w:top w:w="15" w:type="dxa"/>
              <w:left w:w="15" w:type="dxa"/>
              <w:bottom w:w="15" w:type="dxa"/>
              <w:right w:w="15" w:type="dxa"/>
            </w:tcMar>
            <w:vAlign w:val="center"/>
          </w:tcPr>
          <w:p w:rsidR="00721807" w:rsidRDefault="00721807">
            <w:pPr>
              <w:pStyle w:val="NormalWeb"/>
              <w:jc w:val="center"/>
            </w:pPr>
            <w:r>
              <w:t>615,0</w:t>
            </w:r>
          </w:p>
        </w:tc>
        <w:tc>
          <w:tcPr>
            <w:tcW w:w="1370" w:type="dxa"/>
            <w:tcMar>
              <w:top w:w="15" w:type="dxa"/>
              <w:left w:w="15" w:type="dxa"/>
              <w:bottom w:w="15" w:type="dxa"/>
              <w:right w:w="15" w:type="dxa"/>
            </w:tcMar>
            <w:vAlign w:val="center"/>
          </w:tcPr>
          <w:p w:rsidR="00721807" w:rsidRDefault="00721807">
            <w:pPr>
              <w:pStyle w:val="NormalWeb"/>
              <w:jc w:val="center"/>
            </w:pPr>
            <w:r>
              <w:t>633,0</w:t>
            </w:r>
          </w:p>
        </w:tc>
      </w:tr>
      <w:tr w:rsidR="00721807" w:rsidTr="00CC0D69">
        <w:trPr>
          <w:tblCellSpacing w:w="15" w:type="dxa"/>
          <w:jc w:val="center"/>
        </w:trPr>
        <w:tc>
          <w:tcPr>
            <w:tcW w:w="3393" w:type="dxa"/>
            <w:tcMar>
              <w:top w:w="15" w:type="dxa"/>
              <w:left w:w="15" w:type="dxa"/>
              <w:bottom w:w="15" w:type="dxa"/>
              <w:right w:w="15" w:type="dxa"/>
            </w:tcMar>
            <w:vAlign w:val="center"/>
          </w:tcPr>
          <w:p w:rsidR="00721807" w:rsidRDefault="00721807">
            <w:pPr>
              <w:pStyle w:val="NormalWeb"/>
              <w:jc w:val="center"/>
            </w:pPr>
            <w:r>
              <w:t>Единый сельскохозяйственный налог</w:t>
            </w:r>
          </w:p>
        </w:tc>
        <w:tc>
          <w:tcPr>
            <w:tcW w:w="1629" w:type="dxa"/>
            <w:tcMar>
              <w:top w:w="15" w:type="dxa"/>
              <w:left w:w="15" w:type="dxa"/>
              <w:bottom w:w="15" w:type="dxa"/>
              <w:right w:w="15" w:type="dxa"/>
            </w:tcMar>
            <w:vAlign w:val="center"/>
          </w:tcPr>
          <w:p w:rsidR="00721807" w:rsidRDefault="00721807">
            <w:pPr>
              <w:pStyle w:val="NormalWeb"/>
              <w:jc w:val="center"/>
            </w:pPr>
            <w:r>
              <w:t>420,0</w:t>
            </w:r>
          </w:p>
        </w:tc>
        <w:tc>
          <w:tcPr>
            <w:tcW w:w="1507" w:type="dxa"/>
            <w:tcMar>
              <w:top w:w="15" w:type="dxa"/>
              <w:left w:w="15" w:type="dxa"/>
              <w:bottom w:w="15" w:type="dxa"/>
              <w:right w:w="15" w:type="dxa"/>
            </w:tcMar>
            <w:vAlign w:val="center"/>
          </w:tcPr>
          <w:p w:rsidR="00721807" w:rsidRDefault="00721807">
            <w:pPr>
              <w:pStyle w:val="NormalWeb"/>
              <w:jc w:val="center"/>
            </w:pPr>
            <w:r>
              <w:t>433,0</w:t>
            </w:r>
          </w:p>
        </w:tc>
        <w:tc>
          <w:tcPr>
            <w:tcW w:w="1386" w:type="dxa"/>
            <w:tcMar>
              <w:top w:w="15" w:type="dxa"/>
              <w:left w:w="15" w:type="dxa"/>
              <w:bottom w:w="15" w:type="dxa"/>
              <w:right w:w="15" w:type="dxa"/>
            </w:tcMar>
            <w:vAlign w:val="center"/>
          </w:tcPr>
          <w:p w:rsidR="00721807" w:rsidRDefault="00721807">
            <w:pPr>
              <w:pStyle w:val="NormalWeb"/>
              <w:jc w:val="center"/>
            </w:pPr>
            <w:r>
              <w:t>446,0</w:t>
            </w:r>
          </w:p>
        </w:tc>
        <w:tc>
          <w:tcPr>
            <w:tcW w:w="1370" w:type="dxa"/>
            <w:tcMar>
              <w:top w:w="15" w:type="dxa"/>
              <w:left w:w="15" w:type="dxa"/>
              <w:bottom w:w="15" w:type="dxa"/>
              <w:right w:w="15" w:type="dxa"/>
            </w:tcMar>
            <w:vAlign w:val="center"/>
          </w:tcPr>
          <w:p w:rsidR="00721807" w:rsidRDefault="00721807">
            <w:pPr>
              <w:pStyle w:val="NormalWeb"/>
              <w:jc w:val="center"/>
            </w:pPr>
            <w:r>
              <w:t>459,0</w:t>
            </w:r>
          </w:p>
        </w:tc>
      </w:tr>
      <w:tr w:rsidR="00721807" w:rsidTr="00CC0D69">
        <w:trPr>
          <w:tblCellSpacing w:w="15" w:type="dxa"/>
          <w:jc w:val="center"/>
        </w:trPr>
        <w:tc>
          <w:tcPr>
            <w:tcW w:w="3393" w:type="dxa"/>
            <w:tcMar>
              <w:top w:w="15" w:type="dxa"/>
              <w:left w:w="15" w:type="dxa"/>
              <w:bottom w:w="15" w:type="dxa"/>
              <w:right w:w="15" w:type="dxa"/>
            </w:tcMar>
            <w:vAlign w:val="center"/>
          </w:tcPr>
          <w:p w:rsidR="00721807" w:rsidRDefault="00721807">
            <w:pPr>
              <w:pStyle w:val="NormalWeb"/>
              <w:jc w:val="center"/>
            </w:pPr>
            <w:r>
              <w:t>ИТОГО</w:t>
            </w:r>
          </w:p>
        </w:tc>
        <w:tc>
          <w:tcPr>
            <w:tcW w:w="1629" w:type="dxa"/>
            <w:tcMar>
              <w:top w:w="15" w:type="dxa"/>
              <w:left w:w="15" w:type="dxa"/>
              <w:bottom w:w="15" w:type="dxa"/>
              <w:right w:w="15" w:type="dxa"/>
            </w:tcMar>
            <w:vAlign w:val="center"/>
          </w:tcPr>
          <w:p w:rsidR="00721807" w:rsidRDefault="00721807">
            <w:pPr>
              <w:pStyle w:val="NormalWeb"/>
              <w:jc w:val="center"/>
            </w:pPr>
            <w:r>
              <w:t>1086,0</w:t>
            </w:r>
          </w:p>
        </w:tc>
        <w:tc>
          <w:tcPr>
            <w:tcW w:w="1507" w:type="dxa"/>
            <w:tcMar>
              <w:top w:w="15" w:type="dxa"/>
              <w:left w:w="15" w:type="dxa"/>
              <w:bottom w:w="15" w:type="dxa"/>
              <w:right w:w="15" w:type="dxa"/>
            </w:tcMar>
            <w:vAlign w:val="center"/>
          </w:tcPr>
          <w:p w:rsidR="00721807" w:rsidRDefault="00721807">
            <w:pPr>
              <w:pStyle w:val="NormalWeb"/>
              <w:jc w:val="center"/>
            </w:pPr>
            <w:r>
              <w:t>1119,0</w:t>
            </w:r>
          </w:p>
        </w:tc>
        <w:tc>
          <w:tcPr>
            <w:tcW w:w="1386" w:type="dxa"/>
            <w:tcMar>
              <w:top w:w="15" w:type="dxa"/>
              <w:left w:w="15" w:type="dxa"/>
              <w:bottom w:w="15" w:type="dxa"/>
              <w:right w:w="15" w:type="dxa"/>
            </w:tcMar>
            <w:vAlign w:val="center"/>
          </w:tcPr>
          <w:p w:rsidR="00721807" w:rsidRDefault="00721807">
            <w:pPr>
              <w:pStyle w:val="NormalWeb"/>
              <w:jc w:val="center"/>
            </w:pPr>
            <w:r>
              <w:t>1153,0</w:t>
            </w:r>
          </w:p>
        </w:tc>
        <w:tc>
          <w:tcPr>
            <w:tcW w:w="1370" w:type="dxa"/>
            <w:tcMar>
              <w:top w:w="15" w:type="dxa"/>
              <w:left w:w="15" w:type="dxa"/>
              <w:bottom w:w="15" w:type="dxa"/>
              <w:right w:w="15" w:type="dxa"/>
            </w:tcMar>
            <w:vAlign w:val="center"/>
          </w:tcPr>
          <w:p w:rsidR="00721807" w:rsidRDefault="00721807">
            <w:pPr>
              <w:pStyle w:val="NormalWeb"/>
              <w:jc w:val="center"/>
            </w:pPr>
            <w:r>
              <w:t>1187,0</w:t>
            </w:r>
          </w:p>
        </w:tc>
      </w:tr>
    </w:tbl>
    <w:p w:rsidR="00721807" w:rsidRDefault="00721807" w:rsidP="00CC0D69">
      <w:pPr>
        <w:pStyle w:val="NormalWeb"/>
        <w:spacing w:before="0" w:beforeAutospacing="0" w:after="0" w:afterAutospacing="0"/>
        <w:jc w:val="both"/>
      </w:pPr>
      <w:r>
        <w:tab/>
        <w:t>Прогноз по доходам бюджета поселения на 2022 год рассчитан с учетом прогноза социально-экономического развития Лобанихинского сельского поселения, основных направлений налоговой и бюджетной политики на 2023г., законодательства.</w:t>
      </w:r>
      <w:r>
        <w:rPr>
          <w:rFonts w:ascii="Arial Unicode MS" w:eastAsia="Arial Unicode MS" w:hAnsi="Arial Unicode MS" w:cs="Arial Unicode MS" w:hint="eastAsia"/>
        </w:rPr>
        <w:t> </w:t>
      </w:r>
      <w:r>
        <w:t xml:space="preserve">изменений налогового и бюджетного </w:t>
      </w:r>
      <w:r>
        <w:br/>
      </w:r>
      <w:r>
        <w:tab/>
        <w:t>Наибольшая доля поступлений в общей сумме налоговых доходов поселения приходится на земельный налог.</w:t>
      </w:r>
    </w:p>
    <w:p w:rsidR="00721807" w:rsidRDefault="00721807" w:rsidP="00CC0D69">
      <w:pPr>
        <w:pStyle w:val="NormalWeb"/>
        <w:spacing w:before="0" w:beforeAutospacing="0" w:after="0" w:afterAutospacing="0"/>
        <w:jc w:val="center"/>
      </w:pPr>
      <w:r>
        <w:rPr>
          <w:b/>
          <w:bCs/>
        </w:rPr>
        <w:t>Улучшение комфортности среды обитания.</w:t>
      </w:r>
    </w:p>
    <w:p w:rsidR="00721807" w:rsidRDefault="00721807" w:rsidP="00CC0D69">
      <w:pPr>
        <w:pStyle w:val="NormalWeb"/>
        <w:spacing w:before="0" w:beforeAutospacing="0" w:after="0" w:afterAutospacing="0"/>
      </w:pPr>
      <w:r>
        <w:tab/>
        <w:t>Достижение высокого уровня надежности и устойчивости функционирования жилищно-коммунального комплекса поселения.</w:t>
      </w:r>
    </w:p>
    <w:p w:rsidR="00721807" w:rsidRDefault="00721807" w:rsidP="00CC0D69">
      <w:pPr>
        <w:pStyle w:val="NormalWeb"/>
        <w:spacing w:before="0" w:beforeAutospacing="0" w:after="0" w:afterAutospacing="0"/>
      </w:pPr>
      <w:r>
        <w:tab/>
        <w:t>Улучшение качества предоставляемых жилищно-коммунальных услуг.</w:t>
      </w:r>
    </w:p>
    <w:p w:rsidR="00721807" w:rsidRDefault="00721807" w:rsidP="00CC0D69">
      <w:pPr>
        <w:pStyle w:val="NormalWeb"/>
        <w:spacing w:before="0" w:beforeAutospacing="0" w:after="0" w:afterAutospacing="0"/>
      </w:pPr>
      <w:r>
        <w:tab/>
        <w:t>Улучшение качества дорог.</w:t>
      </w:r>
    </w:p>
    <w:p w:rsidR="00721807" w:rsidRDefault="00721807" w:rsidP="00CC0D69">
      <w:pPr>
        <w:pStyle w:val="NormalWeb"/>
        <w:spacing w:before="0" w:beforeAutospacing="0" w:after="0" w:afterAutospacing="0"/>
      </w:pPr>
      <w:r>
        <w:tab/>
        <w:t>Благоустройство, обустройство свалок.</w:t>
      </w:r>
    </w:p>
    <w:p w:rsidR="00721807" w:rsidRDefault="00721807" w:rsidP="00CC0D69">
      <w:pPr>
        <w:pStyle w:val="NormalWeb"/>
        <w:spacing w:before="0" w:beforeAutospacing="0" w:after="0" w:afterAutospacing="0"/>
        <w:jc w:val="center"/>
        <w:rPr>
          <w:b/>
          <w:bCs/>
        </w:rPr>
      </w:pPr>
      <w:r>
        <w:rPr>
          <w:b/>
          <w:bCs/>
        </w:rPr>
        <w:t xml:space="preserve">Укрепление и сохранение здоровья населения, </w:t>
      </w:r>
    </w:p>
    <w:p w:rsidR="00721807" w:rsidRDefault="00721807" w:rsidP="00CC0D69">
      <w:pPr>
        <w:pStyle w:val="NormalWeb"/>
        <w:spacing w:before="0" w:beforeAutospacing="0" w:after="0" w:afterAutospacing="0"/>
        <w:jc w:val="center"/>
        <w:rPr>
          <w:b/>
          <w:bCs/>
        </w:rPr>
      </w:pPr>
      <w:r>
        <w:rPr>
          <w:b/>
          <w:bCs/>
        </w:rPr>
        <w:t>формирование здорового образа жизни.</w:t>
      </w:r>
    </w:p>
    <w:p w:rsidR="00721807" w:rsidRDefault="00721807" w:rsidP="00CC0D69">
      <w:pPr>
        <w:pStyle w:val="NormalWeb"/>
        <w:spacing w:before="0" w:beforeAutospacing="0" w:after="0" w:afterAutospacing="0"/>
        <w:jc w:val="both"/>
      </w:pPr>
      <w:r>
        <w:tab/>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721807" w:rsidRDefault="00721807" w:rsidP="00CC0D69">
      <w:pPr>
        <w:pStyle w:val="NormalWeb"/>
        <w:spacing w:before="0" w:beforeAutospacing="0" w:after="0" w:afterAutospacing="0"/>
        <w:jc w:val="both"/>
      </w:pPr>
      <w:r>
        <w:tab/>
        <w:t>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721807" w:rsidRDefault="00721807" w:rsidP="00CC0D69">
      <w:pPr>
        <w:pStyle w:val="NormalWeb"/>
        <w:jc w:val="center"/>
      </w:pPr>
      <w:r>
        <w:rPr>
          <w:b/>
          <w:bCs/>
        </w:rPr>
        <w:t>Совершенствование системы местного самоуправления.</w:t>
      </w:r>
    </w:p>
    <w:p w:rsidR="00721807" w:rsidRDefault="00721807" w:rsidP="00CC0D69">
      <w:pPr>
        <w:pStyle w:val="NormalWeb"/>
        <w:jc w:val="both"/>
      </w:pPr>
      <w:r>
        <w:tab/>
        <w:t>Совершенствование системы взаимоотношений органов местного самоуправления с населением. Информирование населения о ходе реформ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 Для достижения цели концепции социально-экономического развития Лобанихинского сельского поселения на 2023-2025 год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для реализации намеченных мероприятий. Реализация в полном объеме всех мероприятий позволит:- повысить качество предоставляемых услуг ЖКХ; - снизить численность населения с денежными доходами ниже прожиточного минимума; - повысить экологическую безопасность поселения, тем самым улучшить здоровье населения;- понизить показатели преступности, повысить безопасность жизни людей;- увеличить количество субъектов малого предпринимательства;- создать новые рабочие места;- увеличить собственные доходы бюджета;- улучшить жилищные условия сельчан;-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Лобанихинского сельсовета.</w:t>
      </w:r>
    </w:p>
    <w:p w:rsidR="00721807" w:rsidRDefault="00721807" w:rsidP="00CC0D69">
      <w:pPr>
        <w:pStyle w:val="NormalWeb"/>
        <w:jc w:val="both"/>
      </w:pPr>
    </w:p>
    <w:p w:rsidR="00721807" w:rsidRDefault="00721807" w:rsidP="00CC0D69">
      <w:pPr>
        <w:pStyle w:val="NormalWeb"/>
        <w:spacing w:before="0" w:beforeAutospacing="0" w:after="0" w:afterAutospacing="0"/>
      </w:pPr>
      <w:r>
        <w:t>Глава сельсовета                                                                                 М.С. Перегудова</w:t>
      </w:r>
    </w:p>
    <w:p w:rsidR="00721807" w:rsidRDefault="00721807" w:rsidP="00CC0D69"/>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p w:rsidR="00721807" w:rsidRDefault="00721807" w:rsidP="005D2EFC">
      <w:pPr>
        <w:pStyle w:val="NormalWeb"/>
        <w:jc w:val="center"/>
        <w:rPr>
          <w:rStyle w:val="Strong"/>
        </w:rPr>
      </w:pPr>
    </w:p>
    <w:sectPr w:rsidR="00721807" w:rsidSect="00755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9FB"/>
    <w:rsid w:val="000D1837"/>
    <w:rsid w:val="00242D38"/>
    <w:rsid w:val="0028109A"/>
    <w:rsid w:val="00284B40"/>
    <w:rsid w:val="0054310D"/>
    <w:rsid w:val="005C1783"/>
    <w:rsid w:val="005D2EFC"/>
    <w:rsid w:val="006879BB"/>
    <w:rsid w:val="00721807"/>
    <w:rsid w:val="00755699"/>
    <w:rsid w:val="00846668"/>
    <w:rsid w:val="00B16656"/>
    <w:rsid w:val="00B279F1"/>
    <w:rsid w:val="00B7435C"/>
    <w:rsid w:val="00BD4681"/>
    <w:rsid w:val="00CC0D69"/>
    <w:rsid w:val="00CC5AFA"/>
    <w:rsid w:val="00CF55AE"/>
    <w:rsid w:val="00DE09FB"/>
    <w:rsid w:val="00F007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F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2EFC"/>
    <w:pPr>
      <w:spacing w:before="100" w:beforeAutospacing="1" w:after="100" w:afterAutospacing="1"/>
    </w:pPr>
  </w:style>
  <w:style w:type="paragraph" w:styleId="NoSpacing">
    <w:name w:val="No Spacing"/>
    <w:link w:val="NoSpacingChar"/>
    <w:uiPriority w:val="99"/>
    <w:qFormat/>
    <w:rsid w:val="005D2EFC"/>
    <w:pPr>
      <w:spacing w:line="276" w:lineRule="auto"/>
      <w:ind w:firstLine="567"/>
      <w:jc w:val="both"/>
    </w:pPr>
    <w:rPr>
      <w:rFonts w:ascii="Times New Roman" w:eastAsia="Times New Roman" w:hAnsi="Times New Roman"/>
      <w:sz w:val="28"/>
      <w:szCs w:val="28"/>
    </w:rPr>
  </w:style>
  <w:style w:type="character" w:customStyle="1" w:styleId="NoSpacingChar">
    <w:name w:val="No Spacing Char"/>
    <w:basedOn w:val="DefaultParagraphFont"/>
    <w:link w:val="NoSpacing"/>
    <w:uiPriority w:val="99"/>
    <w:locked/>
    <w:rsid w:val="005D2EFC"/>
    <w:rPr>
      <w:rFonts w:ascii="Times New Roman" w:hAnsi="Times New Roman" w:cs="Times New Roman"/>
      <w:sz w:val="28"/>
      <w:szCs w:val="28"/>
      <w:lang w:val="ru-RU" w:eastAsia="ru-RU" w:bidi="ar-SA"/>
    </w:rPr>
  </w:style>
  <w:style w:type="character" w:styleId="Strong">
    <w:name w:val="Strong"/>
    <w:basedOn w:val="DefaultParagraphFont"/>
    <w:uiPriority w:val="99"/>
    <w:qFormat/>
    <w:rsid w:val="005D2EFC"/>
    <w:rPr>
      <w:rFonts w:cs="Times New Roman"/>
      <w:b/>
      <w:bCs/>
    </w:rPr>
  </w:style>
  <w:style w:type="paragraph" w:styleId="BalloonText">
    <w:name w:val="Balloon Text"/>
    <w:basedOn w:val="Normal"/>
    <w:link w:val="BalloonTextChar"/>
    <w:uiPriority w:val="99"/>
    <w:semiHidden/>
    <w:rsid w:val="0028109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109A"/>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92081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1218</Words>
  <Characters>6943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2021-11-19T07:19:00Z</cp:lastPrinted>
  <dcterms:created xsi:type="dcterms:W3CDTF">2021-11-19T07:20:00Z</dcterms:created>
  <dcterms:modified xsi:type="dcterms:W3CDTF">2022-11-09T05:20:00Z</dcterms:modified>
</cp:coreProperties>
</file>