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B0" w:rsidRPr="002373CB" w:rsidRDefault="000A7A44" w:rsidP="002373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73CB">
        <w:rPr>
          <w:rFonts w:ascii="Arial" w:hAnsi="Arial" w:cs="Arial"/>
          <w:sz w:val="24"/>
          <w:szCs w:val="24"/>
        </w:rPr>
        <w:t>РОССИЙСКАЯ ФЕДЕРАЦИЯ</w:t>
      </w:r>
    </w:p>
    <w:p w:rsidR="00F80CB0" w:rsidRPr="002373CB" w:rsidRDefault="000A7A44" w:rsidP="002373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73CB">
        <w:rPr>
          <w:rFonts w:ascii="Arial" w:hAnsi="Arial" w:cs="Arial"/>
          <w:sz w:val="24"/>
          <w:szCs w:val="24"/>
        </w:rPr>
        <w:t xml:space="preserve">АДМИНИСТРАЦИЯ </w:t>
      </w:r>
      <w:r w:rsidR="00F03A8C">
        <w:rPr>
          <w:rFonts w:ascii="Arial" w:hAnsi="Arial" w:cs="Arial"/>
          <w:sz w:val="24"/>
          <w:szCs w:val="24"/>
        </w:rPr>
        <w:t xml:space="preserve">ЛОБАНИХИНСКОГО </w:t>
      </w:r>
      <w:r w:rsidRPr="002373CB">
        <w:rPr>
          <w:rFonts w:ascii="Arial" w:hAnsi="Arial" w:cs="Arial"/>
          <w:sz w:val="24"/>
          <w:szCs w:val="24"/>
        </w:rPr>
        <w:t>СЕЛЬСОВЕТА</w:t>
      </w:r>
    </w:p>
    <w:p w:rsidR="00F80CB0" w:rsidRPr="002373CB" w:rsidRDefault="000A7A44" w:rsidP="002373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73CB">
        <w:rPr>
          <w:rFonts w:ascii="Arial" w:hAnsi="Arial" w:cs="Arial"/>
          <w:sz w:val="24"/>
          <w:szCs w:val="24"/>
        </w:rPr>
        <w:t xml:space="preserve">   НОВИЧИХИНСКОГО РАЙОНА АЛТАЙСКОГО КРАЯ</w:t>
      </w:r>
    </w:p>
    <w:p w:rsidR="00F80CB0" w:rsidRPr="002373CB" w:rsidRDefault="00F80CB0" w:rsidP="002373CB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</w:pPr>
    </w:p>
    <w:p w:rsidR="00F80CB0" w:rsidRDefault="000A7A44" w:rsidP="002373CB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</w:pPr>
      <w:r w:rsidRPr="002373CB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ПОСТАНОВЛЕНИЕ</w:t>
      </w:r>
    </w:p>
    <w:p w:rsidR="002373CB" w:rsidRPr="002373CB" w:rsidRDefault="002373CB" w:rsidP="002373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73CB" w:rsidRDefault="00472F81" w:rsidP="00237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>11.11</w:t>
      </w:r>
      <w:r w:rsidR="000A7A44" w:rsidRPr="002373CB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.2024   </w:t>
      </w:r>
      <w:r w:rsidR="002373CB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>№ 28</w:t>
      </w:r>
      <w:bookmarkStart w:id="0" w:name="_GoBack"/>
      <w:bookmarkEnd w:id="0"/>
      <w:r w:rsidR="000A7A44" w:rsidRPr="002373CB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                                                                                         </w:t>
      </w:r>
    </w:p>
    <w:p w:rsidR="00F80CB0" w:rsidRDefault="002373CB" w:rsidP="0062758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                                                            </w:t>
      </w:r>
      <w:r w:rsidR="000A7A44" w:rsidRPr="002373CB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с. </w:t>
      </w:r>
      <w:r w:rsidR="00627582">
        <w:rPr>
          <w:rFonts w:ascii="Arial" w:hAnsi="Arial" w:cs="Arial"/>
          <w:sz w:val="24"/>
          <w:szCs w:val="24"/>
        </w:rPr>
        <w:t>Лобаниха</w:t>
      </w:r>
    </w:p>
    <w:p w:rsidR="00472F81" w:rsidRPr="00627582" w:rsidRDefault="00472F81" w:rsidP="00627582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2F81" w:rsidRPr="00472F81" w:rsidRDefault="00472F81" w:rsidP="00472F8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_Hlk136442369"/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>Об основных направлениях бюджетной и налоговой политики Лобанихинского сельсовета Новичихинского района Алтайского края на 2025 год и плановый период 2026 и 2027 годов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со статьей 172 Бюджетного кодекса Российской Федерации, </w:t>
      </w:r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>шением Собрания депутатов Лобанихинского сельсовета Новичихинского района А</w:t>
      </w:r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>л</w:t>
      </w:r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тайского края от 27.12.2021. № 24 «Об утверждении Положения о бюджетном процессе и финансовом контроле в муниципальном образовании </w:t>
      </w:r>
      <w:proofErr w:type="spellStart"/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>Лобанихинсий</w:t>
      </w:r>
      <w:proofErr w:type="spellEnd"/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 Нов</w:t>
      </w:r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>чихинского район», ПОСТАНОВЛЯЮ: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1. Утвердить прилагаемые основные направления бюджетной и налоговой политики Лобанихинского сельсовета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на 2025 год и плановый период 2026 и 2027 годов</w:t>
      </w:r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2. 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исполнением настоящего постановления оставляю </w:t>
      </w:r>
      <w:proofErr w:type="gram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собой.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И.А. Чередниченко 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right" w:tblpY="122"/>
        <w:tblW w:w="0" w:type="auto"/>
        <w:tblLook w:val="04A0" w:firstRow="1" w:lastRow="0" w:firstColumn="1" w:lastColumn="0" w:noHBand="0" w:noVBand="1"/>
      </w:tblPr>
      <w:tblGrid>
        <w:gridCol w:w="3990"/>
      </w:tblGrid>
      <w:tr w:rsidR="00472F81" w:rsidRPr="00472F81" w:rsidTr="00472F81">
        <w:trPr>
          <w:trHeight w:val="983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472F81" w:rsidRPr="00472F81" w:rsidRDefault="00472F81" w:rsidP="00472F8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2F81">
              <w:rPr>
                <w:rFonts w:ascii="Arial" w:hAnsi="Arial" w:cs="Arial"/>
                <w:sz w:val="24"/>
                <w:szCs w:val="24"/>
              </w:rPr>
              <w:t>УТВЕРЖДЕНЫ</w:t>
            </w:r>
          </w:p>
          <w:p w:rsidR="00472F81" w:rsidRPr="00472F81" w:rsidRDefault="00472F81" w:rsidP="00472F81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2F81">
              <w:rPr>
                <w:rFonts w:ascii="Arial" w:hAnsi="Arial" w:cs="Arial"/>
                <w:sz w:val="24"/>
                <w:szCs w:val="24"/>
              </w:rPr>
              <w:t>постановлением Лобанихинского сельсовета Новичихинского ра</w:t>
            </w:r>
            <w:r w:rsidRPr="00472F81">
              <w:rPr>
                <w:rFonts w:ascii="Arial" w:hAnsi="Arial" w:cs="Arial"/>
                <w:sz w:val="24"/>
                <w:szCs w:val="24"/>
              </w:rPr>
              <w:t>й</w:t>
            </w:r>
            <w:r w:rsidRPr="00472F81">
              <w:rPr>
                <w:rFonts w:ascii="Arial" w:hAnsi="Arial" w:cs="Arial"/>
                <w:sz w:val="24"/>
                <w:szCs w:val="24"/>
              </w:rPr>
              <w:t xml:space="preserve">она Алтайского края № 28  </w:t>
            </w:r>
          </w:p>
          <w:p w:rsidR="00472F81" w:rsidRPr="00472F81" w:rsidRDefault="00472F81" w:rsidP="00472F81">
            <w:pPr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72F81">
              <w:rPr>
                <w:rFonts w:ascii="Arial" w:hAnsi="Arial" w:cs="Arial"/>
                <w:sz w:val="24"/>
                <w:szCs w:val="24"/>
              </w:rPr>
              <w:t>от 11.11.2024 г</w:t>
            </w:r>
          </w:p>
        </w:tc>
      </w:tr>
    </w:tbl>
    <w:p w:rsid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бюджетной и налоговой политики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Лобанихинского сельсовета на 2025 год и плановый период 2026 и 2027 годов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бюджетной и налоговой политики Лобанихинского сельс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вета на 2025 год и плановый период 2026 и 2027 годов разработаны в соответствии с основными направлениями бюджетной и налоговой политики Алтайского края на 2025 год и на плановый период 2026 и 2027 годов, с учетом положений Указа Президента Российской Федерации от 07.05.2024 № 309 «О национальных целях развития Росси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ской Федерации на период до</w:t>
      </w:r>
      <w:proofErr w:type="gram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2030 года и на перспективу до 2036 года», Послания Пр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зидента Российской Федерации Федеральному Собранию Российской Федерации от 29.02.2024, перечня инициатив социально-экономического развития Российской Фед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рации до 2030 года, плана первоочередных действий по обеспечению развития росси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ской экономики в условиях внешнего </w:t>
      </w:r>
      <w:proofErr w:type="spell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санкционного</w:t>
      </w:r>
      <w:proofErr w:type="spell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давления.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Целями бюджетной и налоговой политики определены: безусловное достижение целевых показателей, определенных муниципальными программами, реализация пе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воочередных мероприятий по обеспечению устойчивого развития и социальной ст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бильности, реализация мероприятий, утвержденных индивидуальной программой соц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ально-экономического развития Алтайского края, способствующих повышению уровня и качества жизни населения, поддержке реального сектора экономики, стимулированию инвестиционной активности, обеспечению устойчивого развития бюджетной системы, основные направления налоговой политики будут сосредоточены на стабильном нал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говом</w:t>
      </w:r>
      <w:proofErr w:type="gram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законодательстве</w:t>
      </w:r>
      <w:proofErr w:type="gram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>, сбалансированности, устойчивости и увеличении налогового потенциала для формирования бюджета.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Ключевыми задачами бюджетной и налоговой политики определены:</w:t>
      </w:r>
      <w:proofErr w:type="gramEnd"/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сохранение достигнутого уровня налогового потенциала и создание условий для дальнейшего роста налоговых и неналоговых доходов бюджета в действующих услов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ях </w:t>
      </w:r>
      <w:proofErr w:type="spell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санкционного</w:t>
      </w:r>
      <w:proofErr w:type="spell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давления и последствий пандемии;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продолжение взаимодействия органов местного самоуправления с главными 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министраторами налоговых и неналоговых доходов бюджета в целях улучшения кач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ства администрирования доходов;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сохранение стабильности налоговой нагрузки и полноты выявления плательщ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ков;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безусловное исполнение принятых обязательств перед работниками бюджетной сферы, населением района, в том числе в части индексации оплаты труда и социальной поддержки отдельных категорий граждан, имеющих право на ее получение в соотве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ствии с действующим законодательством;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повышение финансовой дисциплины органов местного самоуправления;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программно-целевого принципа формирования местного бюджета;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повышение качества взаимодействия между органами местного самоуправления как инструмента сохранения устойчивости и сбалансированности местных бюджетов в условиях изменения бюджетного законодательства;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совершенствование действующей практики реализации проектов 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соблюдение открытости и прозрачности бюджетного процесса, финансовой гр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мотности граждан, поддержки и </w:t>
      </w:r>
      <w:proofErr w:type="gram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proofErr w:type="gram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общедоступных информационно-аналитических ресурсов.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F81" w:rsidRPr="00472F81" w:rsidRDefault="00472F81" w:rsidP="00472F81">
      <w:pPr>
        <w:numPr>
          <w:ilvl w:val="0"/>
          <w:numId w:val="5"/>
        </w:numPr>
        <w:suppressAutoHyphens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налоговой политики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налоговой политики на 2025 год плановый период 2026 и 2027 годов сформированы в соответствии с основными направлениями налоговой пол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тики Российской Федерации, Алтайского края на 2025 год и плановый период 2026 и 2027 годов. В основу налоговой политики положены стратегические цели развития стр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ны и региона, концепции социально-экономического развития Алтайского края.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Налоговая политика направлена на пересмотр основных параметров налоговой системы и на увеличение доходов бюджетной системы Российской Федерации для 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шения масштабных общенациональных задач в социальной и в экономической сферах.</w:t>
      </w:r>
      <w:proofErr w:type="gramEnd"/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Предполагается комплексное системное изменение в части налогообложения корпоративных и личных доходов на базе принципа справедливости и эффективности перераспределения поступлений между различными слоями населения и секторами экономики.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В трехлетней перспективе будет продолжена работа по укреплению и развитию налогового потенциала бюджета края за счет наращивания стабильных доходных 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точников и мобилизации в бюджет имеющихся резервов с учетом изменений, внесенных в Налоговый кодекс Российской Федерации. 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В налоговой политике учтены следующие изменения федерального и регионал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ного законодательства: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увеличение ставки налога на прибыль с 20% до 25% в части федерального бю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жета, что позволит с 1 января 2025 года отказаться от курсовых экспортных пошлин;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увеличение с 1,5 до 2 повышающего коэффициента по расходам на НИОКР при исчислении налога на прибыль;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увеличение с 2,10 до 2,30 регионального коэффициента, отражающего реги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нальные особенности рынка труда на территории Алтайского края, для исчисления ра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мера фиксированного авансового платежа по налогу на доходы физических лиц, рост к 2024 году – 109%;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введение многоступенчатой прогрессивной шкалы налога на доходы физических лиц в зависимости от величины дохода, и как следствие внесение изменений в закон Алтайского края от 31.08.2005 № 62-ЗС «О нормативах отчислений от федеральных и региональных налогов и сборов, налогов, предусмотренных специальными налоговыми режимами, и неналоговых доходов». Вместо двух появляется пять градаций годового дохода и пять ставок. Налоговые базы в отношении отдельных доходов (от продажи имущества, дивидендов, участников СВО и т.д.) определяются отдельно, и для них остается двухступенчатая шкала налогообложения;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увеличение стандартных вычетов по налогу на доходы физических лиц на второго и третьего ребенка – с 1400 до 2800 рублей и с 3000 до 6000 рублей соответственно и увеличение совокупного дохода для применения вычетов с 350 тыс. рублей до 450 тыс. рублей;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введение вычета в размере 18 тыс. рублей за налоговый период для лиц, выпо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нивших нормативы испытаний (тестов) комплекса «Готов к труду и обороне», и награ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денных знаком отличия (подтвердивших полученный знак отличия). Указанный вычет предоставляется за налоговый период, в котором произошло награждение соответств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ющим знаком отличия или его подтверждение, при условии прохождения налогопл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тельщиком диспансеризации в соответствующем календарном году;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установление ежегодной выплаты «</w:t>
      </w:r>
      <w:proofErr w:type="spell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кешбэк</w:t>
      </w:r>
      <w:proofErr w:type="spell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>» работающим родителям, имеющих двух и более детей, в целях компенсации части уплаченного налога на доходы физич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ских лиц (ежегодная выплата выплачивается в случае, если размер среднедушевого д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хода семьи не превышает 1,5-кратную величину прожиточного минимума на душу нас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ления, установленную в субъекте Российской Федерации; определяется как разница между налогом, уплаченным за налоговый период, и налогом, рассчитанным по ставке 6%). </w:t>
      </w:r>
      <w:proofErr w:type="gram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Выплата будет осуществляться Социальным фондом России за счет средств ф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дерального бюджета; </w:t>
      </w:r>
      <w:proofErr w:type="gramEnd"/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индексация ставок по всем видам подакцизной продукции на 2025-2027 годы;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максимальных порогов для использования специального налогового режима упрощенная система налогообложения: численность сотрудников с 100 до 130 человек, годовой доход c 200 до 450 млн. рублей, остаточная стоимость основных средств с 150 до 200 млн. рублей; 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признание налогоплательщиков с годовым доходом более 60 млн. рублей, прим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няющих упрощенную систему налогообложения, плательщиками НДС. При этом налог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плательщику предоставляется альтернатива: выбрать общий режим (обычные ставки НДС со всеми вычетами) или вариант без права на вычеты (ставку НДС 5% при доходах от 60 млн. до 250 млн. рублей в год и 7% при доходах от 250 млн. до 450 млн. рублей в год);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отмена повышенных ставок упрощенной системы налогообложения: 8% - для объекта «доходы» и 20% - для объекта «доходы минус расходы» (останутся 2 базовые ставки: 6% и 15%);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перенос срока уплаты по патентной системе налогообложения на 28 декабря, в случае если срок окончания действия патента приходится на 31 декабря;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расширение полномочия субъектов Российской Федерации, в том числе муниц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пальных образований по установлению более высоких налоговых ставок имуществе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ных налогов в отношении дорогостоящего имущества. Так, в отношении объектов н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движимого имущества, налоговая база в отношении которых определяется как кадас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ровая стоимость, и кадастровая стоимость каждого из которых превышает 300 млн. ру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лей, налоговая ставка по налогу на имущество организаций может быть повышена до 2,5 %;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увеличение размера государственной пошлины для физических и юридических лиц в отношении дорогостоящих объектов недвижимости и переход на уплату госуда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ственной пошлины за регистрацию прав собственности на недвижимое имущество (включая землю) от фиксированного размера к проценту от цены сделки.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С 1 января 2025 года вводится новый туристический налог, который заменит к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рортный сбор, эксперимент по которому завершается в 2024 году. Органы местного с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моуправления наделены правом по его введению и установке на своих территориях нормативно-правовыми актами представительных органов соответствующих муниц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пальных образований. Налоговые ставки устанавливаются в размерах, не превыша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щих размеров ставок, определённых Налоговым кодексом Российской Федерации (на 2025 год – в размерах, не превышающих 1%, на 2026 год – 2%, на 2027 год – 3%, на 2028 год – 4%, начиная с 2029 года – 5% от налоговой базы, но не менее 100 рублей за сутки проживания).</w:t>
      </w:r>
    </w:p>
    <w:p w:rsidR="00472F81" w:rsidRPr="00472F81" w:rsidRDefault="00472F81" w:rsidP="00472F81">
      <w:pPr>
        <w:numPr>
          <w:ilvl w:val="0"/>
          <w:numId w:val="5"/>
        </w:numPr>
        <w:suppressAutoHyphens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бюджетной политики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Сформированная бюджетная политика сохраняет социальную преемственность политики предыдущего планового периода с учетом новых экономических условий, складывающихся на фоне ситуации, вызванной внешним </w:t>
      </w:r>
      <w:proofErr w:type="spell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санкционным</w:t>
      </w:r>
      <w:proofErr w:type="spell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давлением.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Ее направленность на удержание достигнутых значений соотношения оплаты труда со среднемесячным доходом от трудовой деятельности с поэтапным достижением 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задач, обозначенных в Указах Президента Российской Федерации; безусловное выпо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нение всех социальных обязательств перед жителями района; обеспечение реализации мероприятий индивидуальной программы социально-экономического развития Алта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ского края позволит обеспечить сбалансированное развитие на среднюю и долгосро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ную перспективу.</w:t>
      </w:r>
      <w:proofErr w:type="gramEnd"/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В действующих условиях новую значимость приобретают сохранение и укрепл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ние важнейших условий сбалансированности бюджетов всех уровней – соответствие бюджетных расходов реально прогнозируемым поступлениям, эффективность испол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зования бюджетных средств.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В действующих условиях в </w:t>
      </w:r>
      <w:proofErr w:type="spell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Лобанихинском</w:t>
      </w:r>
      <w:proofErr w:type="spell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 сохраняется важнейшее условие бюджетной сбалансированности – соответствие бюджетных расходов реально прогнозируемым поступлениям, повышение эффективности использования бюджетных средств.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Продолжится работа по своевременному и в полном объеме исполнению расхо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ченной дебиторской и кредиторской задолженности, в том числе незавершенного стро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тельства.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Мероприятия в части инвентаризации установленных расходных полномочий 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ганов местного самоуправления направлены на недопущение принятия новых расхо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ных обязательств, не связанных с решением вопросов, отнесенных Конституцией Ро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сийской Федерации и федеральными законами к полномочиям органов местного сам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управления (кроме </w:t>
      </w:r>
      <w:proofErr w:type="spell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антисанкционных</w:t>
      </w:r>
      <w:proofErr w:type="spell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и мобилизационных мероприятий).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При формировании проекта бюджета будет предусмотрена индексация зарабо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ной платы: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отдельных категорий работников, подпадающих под действие указов Президента Российской Федерации – на 13,2 процента с 1 января 2025 года;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работников бюджетного сектора экономики Алтайского края, на которых не ра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пространяется действие указов, - 4,5 процента с 1 октября 2025 года. 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Минимальный </w:t>
      </w:r>
      <w:proofErr w:type="gram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размер оплаты труда</w:t>
      </w:r>
      <w:proofErr w:type="gram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с 1 января 2025 года увеличится на 16,6 пр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цента и составит 22440 рублей.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Кроме того, расходы на заработную плату предусматриваются с учетом планир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емого </w:t>
      </w:r>
      <w:proofErr w:type="gram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темпа роста минимального размера оплаты труда</w:t>
      </w:r>
      <w:proofErr w:type="gram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и начислением районного к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эффициента сверх утверждаемого минимального размера оплаты труда в соответствии с Постановлениями Конституционного Суда Российской Федерации.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В целях </w:t>
      </w:r>
      <w:proofErr w:type="spellStart"/>
      <w:r w:rsidRPr="00472F8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софинансирования</w:t>
      </w:r>
      <w:proofErr w:type="spellEnd"/>
      <w:r w:rsidRPr="00472F8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расходных обязательств муниципальных образов</w:t>
      </w:r>
      <w:r w:rsidRPr="00472F8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ний, 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возникающих при выполнении местных полномочий, продолжится практика пред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ставления из краевого бюджета субсидий муниципальным образованиям при условии заключения соглашения о предоставлении субсидии, предусматривающего обязател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ства муниципального образования и ответственность, в соответствии с бюджетным з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конодательством.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В рамках повышения операционной эффективности бюджетных расходов предп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лагается дальнейшее совершенствование </w:t>
      </w:r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>процедур планирования и технологий испо</w:t>
      </w:r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>л</w:t>
      </w:r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>нения бюджета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, включая </w:t>
      </w:r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расширение практики 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обоснования бюджетных ассигнований для получателей бюджетных средств</w:t>
      </w:r>
      <w:r w:rsidRPr="00472F8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Продолжится работа по своевременному и в полном объеме исполнению расхо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ченной дебиторской и кредиторской задолженности.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Мероприятия в части инвентаризации установленных расходных полномочий 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ганов местного самоуправления Лобанихинского сельсовета направлены на недопущ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ние принятия новых расходных обязательств, не связанных с решением вопросов, отн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сенных Конституцией Российской Федерации и федеральными законами к полномочиям органов государственной власти и органов местного самоуправления Новичихинского района. Последовательный анализ структуры расходных полномочий, мониторинг ре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лизации муниципальных программ на предмет их вклада в достижение национальных целей становится обязательным условием при планировании объемов расходных об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зательств на 2025 год и плановый период 2026 и 2027 годов.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Расходы на содержание дорожного хозяйства района, как и в предыдущие годы, будут осуществляться за счет средств муниципального дорожного фонда Новичихинск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го района, а также дополнительного финансирования из средств районного бюджета на поддержку дорожного хозяйства. 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При определении объемов дорожных фондов на 2024 год и плановый период 2026 и 2027 годов учитывается динамика действующего законодательства в части з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числения в бюджет Новичихинского района акцизов на автомобильный бензин, прям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гонный бензин, дизельное топливо, моторные масла для дизельных и (или) карбюрато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ных (</w:t>
      </w:r>
      <w:proofErr w:type="spell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инжекторных</w:t>
      </w:r>
      <w:proofErr w:type="spell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) двигателей, производимые на территории Российской Федерации. 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стабильного функционирования бюджетной системы будет продолжена бюджетная политика, направленная на сохранение устойчивости и сбала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сированности местных бюджетов, а также на повышение качества управления муниц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пальными финансами.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Основными мероприятиями в сфере межбюджетных отношений являются: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выравнивание бюджетной обеспеченности муниципальных образований;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стимулирование органов местного самоуправления к повышению эффективности и результативности деятельности;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расходных обязательств муниципальных образований.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Основную роль при формировании местных бюджетов выполняет выравнивание бюджетной обеспеченности муниципальных образований. Применение этого инструме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та межбюджетного регулирования позволяет ежегодно снижать разрыв в уровне бю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жетной обеспеченности отдельных муниципальных образований.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и результативности деятельности органов местного самоуправления осуществляется </w:t>
      </w:r>
      <w:r w:rsidRPr="00472F8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комплекс мер стимулирующего характера: предоставление грантов, пр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емирование в целях поощрения и распространения прим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ров лучшей муниципальной практики, премирование по результатам оценки качества управления муниципальными финансами. 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Проект поддержки местных инициатив, действующий в Алтайском крае с 2017 г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да, является наиболее распространенной практикой инициативного бюджетирования в России. 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Главная цель Проекта – вовлечение граждан в решение вопросов местного зн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чения, в развитие общественной инфраструктуры своей малой родины. Участвуя в Пр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екте, жители самостоятельно выдвигают, обсуждают и принимают решения по приор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тетным социальным проблемам, определяют направления расходования бюджетных средств, </w:t>
      </w:r>
      <w:proofErr w:type="spell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софинансируют</w:t>
      </w:r>
      <w:proofErr w:type="spell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выбранные объекты, принимают трудовое участие в реализ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ции проекта и контролируют выполнение работ. 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Наиболее востребованными для жителей проектами являются обустройство де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ских площадок, создание спортивных объектов, ремонт объектов культуры, реконстру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ция и благоустройство мемориалов славы, восстановление дорог, благоустройство мест захоронений, ремонт объектов водоснабжения, монтаж объектов освещения, обустро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ство мест отдыха.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районы и муниципальные округа с проектами </w:t>
      </w:r>
      <w:proofErr w:type="spell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общерайонного</w:t>
      </w:r>
      <w:proofErr w:type="spell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общеокружного</w:t>
      </w:r>
      <w:proofErr w:type="spell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) значения, результатами которых будут пользоваться жители двух и 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более населенных пунктов могут участвовать в проектах по благоустройству детских оздоровительных лагерей, обустройству стел на въезде в муниципалитет, ремонту зд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ний пожарной части и т.д.).</w:t>
      </w:r>
      <w:proofErr w:type="gramEnd"/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Максимальный размер субсидии из краевого бюджета на реализацию одного ин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циативного проекта составляет 1,3 млн. рублей, для проектов </w:t>
      </w:r>
      <w:proofErr w:type="spell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общерайонного</w:t>
      </w:r>
      <w:proofErr w:type="spell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щеокружного</w:t>
      </w:r>
      <w:proofErr w:type="spell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>) значения, результатами которых будут пользоваться жители двух и более населенных пунктов, – 1,5 млн. рублей.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Участвовать в ППМИ могут: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сельские населенные пункты;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поселки городского типа (рабочие поселки), входящие в состав муниципальных районов;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малые города с численностью населения до 50 тыс. человек (г. Заринск,</w:t>
      </w:r>
      <w:proofErr w:type="gramEnd"/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г. Камень-на-Оби, г. Славгород, г. Алейск, г. Белокуриха, г. </w:t>
      </w:r>
      <w:proofErr w:type="spell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Горняк</w:t>
      </w:r>
      <w:proofErr w:type="gram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,г</w:t>
      </w:r>
      <w:proofErr w:type="spellEnd"/>
      <w:proofErr w:type="gram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>. Яровое, г. Змеиногорск);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муниципальные районы и муниципальные округа с проектами </w:t>
      </w:r>
      <w:proofErr w:type="spell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общерайонного</w:t>
      </w:r>
      <w:proofErr w:type="spell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общеокружного</w:t>
      </w:r>
      <w:proofErr w:type="spell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>) значения, результатами которых будут пользоваться жители двух и более населенных пунктов.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При этом малые города с численностью населения до 50 тыс. человек и админ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стративные центры муниципальных районов имеют право подать на конкурс по две з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явки.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Реализация Проекта поддержки местных инициатив в Алтайском крае будет пр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должена в 2025 году. 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Одно из главных изменений ППМИ 2025 года – двухэтапная подача заявок на ко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курсный отбор.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Первый этап (до 01.09) – предоставление муниципалитетами документации, обо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новывающей стоимость проекта (обоснование сметной стоимости, прайс-листы, ко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мерческие предложения).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За выполнение данного условия участники конкурса будут поощряться дополн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тельными баллами (5 баллов).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Второй этап (до 01.11) – заполнение и подача муниципалитетами заявки на ко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курсный отбор ППМИ с проверенным обоснованием стоимости проекта. Выполнение данного пункта также поощряется дополнительными баллами (5 баллов).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При этом муниципальные образования, которые не успели подать обоснование стоимости проекта и заявку в установленные сроки, могут сделать это до 1 декабря, но уже без присуждения дополнительных баллов.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Значимые изменения произошли и в части критериев оценки инициативных прое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тов. Так, с текущего года будет учитываться эффективность использования объектов, реализованных по ППМИ в предшествующих годах.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Другим нововведением этого года стало включение в типологию проектов, св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занных с приобретением оборудования, которое в дальнейшем будет использоваться при проведении различных мероприятий, а также для занятия творческих и спортивных коллективов на объектах, ранее реализованных в рамках ППМИ.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Основная задача – максимальное вовлечение муниципальных образований в Проект поддержки местных инициатив.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Политика в области управления муниципальным долгом Лобанихинского сельс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вета предусматривает реализацию мер по максимально возможному ограничению об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ъ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емов заимствований и поддержанию минимально возможной стоимости обслуживания муниципального долга, своевременное и безусловное исполнение принимаемых обяз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тельств.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Реализованные в предыдущие годы принципы прозрачности, открытости для 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щества процедур рассмотрения и принятия решений по проектам бюджетов, а также 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практика обеспечения доступности утвержденных бюджетов и отчетов об их исполнении для граждан сохранится. 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Важным инструментом взаимодействия с органами местного самоуправления я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ляется заключение соглашений о мерах по социально-экономическому развитию и озд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ровлению муниципальных финансов. 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 обязательств, предусмотренных соглашением, позволяет своевр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менно и в полном объеме обеспечивать исполнение органами местного самоуправления своих полномочий, сохранение и укрепление доходной базы муниципальных образов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ний, безопасный уровень долговой нагрузки на бюджеты муниципальных образований, оптимизацию бюджетных расходов с учетом поиска имеющихся резервов. 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Усиление </w:t>
      </w:r>
      <w:proofErr w:type="gram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 надлежащим исполнением принятых расходных обяз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тельств направлено на повышение финансовой дисциплины и эффективности испол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зования бюджетных средств. Перечень мероприятий, предусмотренный «дорожными картами» муниципальных образований, предусматривает сокращение дебиторской з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долженности, просроченной кредиторской задолженности муниципальными учрежден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 xml:space="preserve">ями и органами местного самоуправления Новичихинского района. </w:t>
      </w:r>
    </w:p>
    <w:p w:rsidR="00472F81" w:rsidRPr="00472F81" w:rsidRDefault="00472F81" w:rsidP="00472F81">
      <w:pPr>
        <w:suppressAutoHyphens w:val="0"/>
        <w:autoSpaceDE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472F81">
        <w:rPr>
          <w:rFonts w:ascii="Arial" w:eastAsia="Times New Roman" w:hAnsi="Arial" w:cs="Arial"/>
          <w:sz w:val="24"/>
          <w:szCs w:val="24"/>
          <w:lang w:eastAsia="ru-RU"/>
        </w:rPr>
        <w:t>Выполнение закрепленных за муниципальными образованиями обязательств та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же учитывается при распределении дополнительной финансовой помощи стимулиру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щего характера, оценке качества управления муниципальными финансами. Концентр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ция бюджетных ресурсов на реализации национальных целей и мероприятий, пред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смотренных индивидуальной программой социально-экономического развития Алта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ского края, обеспечение своевременного финансирования и освоения сре</w:t>
      </w:r>
      <w:proofErr w:type="gramStart"/>
      <w:r w:rsidRPr="00472F81">
        <w:rPr>
          <w:rFonts w:ascii="Arial" w:eastAsia="Times New Roman" w:hAnsi="Arial" w:cs="Arial"/>
          <w:sz w:val="24"/>
          <w:szCs w:val="24"/>
          <w:lang w:eastAsia="ru-RU"/>
        </w:rPr>
        <w:t>дств в пр</w:t>
      </w:r>
      <w:proofErr w:type="gramEnd"/>
      <w:r w:rsidRPr="00472F8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472F81">
        <w:rPr>
          <w:rFonts w:ascii="Arial" w:eastAsia="Times New Roman" w:hAnsi="Arial" w:cs="Arial"/>
          <w:sz w:val="24"/>
          <w:szCs w:val="24"/>
          <w:lang w:eastAsia="ru-RU"/>
        </w:rPr>
        <w:t>стоящий период обеспечит сохранение устойчивости бюджетной системы, социальной стабильности, создаст условия для дальнейшего роста.</w:t>
      </w:r>
      <w:r w:rsidRPr="00472F81">
        <w:rPr>
          <w:rFonts w:eastAsia="Times New Roman" w:cs="Times New Roman"/>
          <w:lang w:eastAsia="ru-RU"/>
        </w:rPr>
        <w:t xml:space="preserve"> </w:t>
      </w:r>
    </w:p>
    <w:bookmarkEnd w:id="1"/>
    <w:p w:rsidR="00472F81" w:rsidRPr="002373CB" w:rsidRDefault="00472F81" w:rsidP="00472F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72F81" w:rsidRPr="002373CB" w:rsidSect="002373CB">
      <w:pgSz w:w="11906" w:h="16838"/>
      <w:pgMar w:top="1134" w:right="567" w:bottom="1134" w:left="1276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DE47865"/>
    <w:multiLevelType w:val="multilevel"/>
    <w:tmpl w:val="01183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6D37FCF"/>
    <w:multiLevelType w:val="multilevel"/>
    <w:tmpl w:val="36D37FCF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426F65"/>
    <w:multiLevelType w:val="multilevel"/>
    <w:tmpl w:val="861C68C2"/>
    <w:lvl w:ilvl="0">
      <w:start w:val="2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8" w:hanging="21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B0"/>
    <w:rsid w:val="000A7A44"/>
    <w:rsid w:val="002373CB"/>
    <w:rsid w:val="00472F81"/>
    <w:rsid w:val="0060124D"/>
    <w:rsid w:val="00627582"/>
    <w:rsid w:val="00F03A8C"/>
    <w:rsid w:val="00F8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  <w:pPr>
      <w:spacing w:after="160" w:line="221" w:lineRule="exact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8F4483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90B8D"/>
    <w:pPr>
      <w:widowControl w:val="0"/>
      <w:ind w:firstLine="54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390B8D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a"/>
  </w:style>
  <w:style w:type="character" w:styleId="ac">
    <w:name w:val="Hyperlink"/>
    <w:basedOn w:val="a0"/>
    <w:uiPriority w:val="99"/>
    <w:unhideWhenUsed/>
    <w:rsid w:val="0060124D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0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124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f"/>
    <w:rsid w:val="00472F8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472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  <w:pPr>
      <w:spacing w:after="160" w:line="221" w:lineRule="exact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8F4483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90B8D"/>
    <w:pPr>
      <w:widowControl w:val="0"/>
      <w:ind w:firstLine="54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390B8D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a"/>
  </w:style>
  <w:style w:type="character" w:styleId="ac">
    <w:name w:val="Hyperlink"/>
    <w:basedOn w:val="a0"/>
    <w:uiPriority w:val="99"/>
    <w:unhideWhenUsed/>
    <w:rsid w:val="0060124D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0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124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f"/>
    <w:rsid w:val="00472F8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472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User</cp:lastModifiedBy>
  <cp:revision>2</cp:revision>
  <cp:lastPrinted>2024-12-16T13:25:00Z</cp:lastPrinted>
  <dcterms:created xsi:type="dcterms:W3CDTF">2024-12-28T07:25:00Z</dcterms:created>
  <dcterms:modified xsi:type="dcterms:W3CDTF">2024-12-28T07:25:00Z</dcterms:modified>
  <dc:language>ru-RU</dc:language>
</cp:coreProperties>
</file>